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120</w:t>
      </w:r>
    </w:p>
    <w:p>
      <w:r>
        <w:t>Bundesgericht (BGE), 1968-10-14, DE</w:t>
      </w:r>
    </w:p>
    <w:p>
      <w:r>
        <w:rPr>
          <w:b/>
        </w:rPr>
        <w:t xml:space="preserve">Quelle: </w:t>
      </w:r>
      <w:r>
        <w:t>https://mcp.opencaselaw.ch/entscheid/bge_94 IV 120</w:t>
      </w:r>
    </w:p>
    <w:p>
      <w:r>
        <w:t>FR: ATF 94 IV 120</w:t>
      </w:r>
    </w:p>
    <w:p>
      <w:r>
        <w:t>IT: DTF 94 IV 120</w:t>
      </w:r>
    </w:p>
    <w:p>
      <w:pPr>
        <w:pStyle w:val="Heading2"/>
      </w:pPr>
      <w:r>
        <w:t>Regeste</w:t>
      </w:r>
    </w:p>
    <w:p>
      <w:r>
        <w:t>Regeste 1. Art. 34 Abs. 1 SVG. Auch auf breiten Strassen hat der Fahrer sich möglichst an den rechten Strassenrand zu halten (Erw. 1). 2. Art. 36 Abs. 1 SVG, Art. 13 Abs. 1 Satz 1 VRV. Wann der Fahrer, der nach links abbiegen will, mit dem Einspuren beginnen darf, entscheidet sich nicht allgemein, sondern nach den Strassen- und Verkehrsverhältnissen des Einzelfalles (Erw. 2).</w:t>
      </w:r>
    </w:p>
    <w:p>
      <w:pPr>
        <w:pStyle w:val="Heading2"/>
      </w:pPr>
      <w:r>
        <w:t>Erwägungen</w:t>
      </w:r>
    </w:p>
    <w:p>
      <w:r>
        <w:rPr>
          <w:b/>
        </w:rPr>
        <w:t>E. 1</w:t>
      </w:r>
    </w:p>
    <w:p>
      <w:r>
        <w:t>Nach Art. 34 Abs. 1 SVG müssen Fahrzeuge rechts, auf breiten Strassen innerhalb der rechten Fahrbahnhälfte fahren. Sie haben sich möglichst an den rechten Strassenrand zu halten, namentlich bei langsamer Fahrt und auf unübersichtlichen Strecken. Wie das Bundesgericht bereits unter der Herrschaft des Art. 26 Abs. 1 MFG entschieden hat ( BGE 87 IV 24 mit Zitaten) und nun vor allem aus Art. 7 VRV ersichtlich ist, kommt dem Gebot des Rechtsfahrens keine absolute Geltung zu. Wo nicht besondere Umstände das Fahren am äussersten Strassenrand erfordern, darf der Fahrzeugführer schon im eigenen Interesse und mit Rücksicht auf Hindernisse, die in seiner Fahrbahn auftauchen können, vom rechten Strassenrand einen angemessenen Abstand einhalten. Auf Strecken, auf denen er mit Fussgängern oder Radfahrern rechnen muss, ist er dazu, insbesondere nachts, sogar verpflichtet. Je nach den Strassen-und Verkehrsverhältnissen darf der Fahrer mit der gebotenen Vorsicht auch die Strassenmitte benützen, so etwa auf einer gewölbten oder sonst schlecht befahrbaren, aber übersichtlichen und freien Strasse. Das heisst entgegen der Auffassung des Beschwerdeführers nicht, dass der Fahrer auf breiten Strassen die rechte Hälfte BGE 94 IV 120 S. 122 beliebig für sich beanspruchen dürfe. Nach der Grundregel hat er vielmehr auch auf solchen Strassen möglichst rechts zu fahren. Er darf folglich von der rechten Fahrbahnhälfte nicht mehr in Anspruch nehmen, als nötig ist, und muss die Strassenmitte zum Überholen, Einspuren und allenfalls auch zum Kreuzen freilassen, sofern er nicht selber überholen oder einspuren will und die gesetzlichen Voraussetzungen dafür gegeben sind. Art. 34 Abs. 1 SVG lässt darüber keine Zweifel offen. Satz 2 dieser Bestimmung, wonach die Fahrzeugführer sich möglichst an den rechten Strassenrand zu halten haben, macht für breite Strassen keine Ausnahme, sondern umfasst unmissverständlich auch diese, schliesst die Vorschrift doch unmittelbar an diejenige über das Fahren aufbreiten Strassen an. Freilich wäre bei dieser Auslegung des Art. 34 Abs. 1 SVG , wie der Beschwerdeführer mit Recht bemerkt, eine besondere Bestimmung über das Befahren breiter Strassen nicht nötig gewesen. Wo die Verhältnisse ausreichen, ist der Fahrer schon nach der Grundregel verpflichtet, rechts zu halten und die Strassenmitte freizulassen. Wo dies dagegen wegen mangelnder Strassenbreite nicht möglich ist, muss er notgedrungen die ganze rechte Hälfte und, wenn sie weniger breit ist als sein Fahrzeug, auch einen Teil der linken Fahrbahn beanspruchen. Das spricht jedoch nicht gegen die erwähnte Auslegung. Es wäre im Gegenteil ein Widerspruch, einerseits vorzuschreiben, dass rechts und möglichst am rechten Strassenrand gefahren werden müsse, anderseits zu gestatten, dass auf breiten Strassen, die für regen Verkehr angelegt sind, in der Mitte oder nahezu in der Mitte gefahren werden dürfe. Wenn noch besonders gesagt wird, auf breiten Strassen sei innerhalb der rechten Hälfte zu fahren, so kann das deshalb nur als Verdeutlichung der Grundregel für diese Art von Strassen gemeint sein. Das ergibt sich auch aus der Entstehungsgeschichte. Die besondere Bestimmung wurde mit Rücksicht auf langsam fahrende Fahrzeuge vom Ständerat in die Gesetzesvorlage aufgenommen, wobei der Berichterstatter ausdrücklich bemerkte, dass die Führer möglichst rechts, auf den durch eine Mittellinie geteilten Strassen also nicht dieser Linie entlang, sondern am rechten Strassenrand fahren sollen, um den nachfolgenden Fahrzeugen das Überholen zu erleichtern (StenBull StR 1958 S. 104). Darauf hat der Kassationshof schon im Urteil vom 22. Januar 1965 i.S. Schwitter hingewiesen. BGE 94 IV 120 S. 123 Gegen dieses Ergebnis vermag der Beschwerdeführer auch mit dem Hinweis auf die Urteile in BGE 76 IV 61 und BGE 77 II 258 nicht aufzukommen. Im ersten Urteil wurde die Frage, ob nach Art. 26 Abs. 1 MFG auf breiten Strassen in der Mitte gefahren werden dürfe, offen gelassen, weil eine solche Fahrweise nach den besonderen Umständen des Falles ohnehin nicht zulässig war. Und im zweiten Urteil wurde im Sinne des hievor Gesagten ausgeführt, dass das Gebot des Rechtsfahrens kein absolutes sei, keineswegs aber entschieden, dass auf breiten Fahrbahnen nach Belieben die Strassenmitte benützt werden dürfe. Ebensowenig hilft dem Beschwerdeführer, dass er nicht überholt werden durfte, weil er selber mit der signalisierten Höchstgeschwindigkeit von 60 km/Std fuhr. Das Gesetz macht die Pflicht, sich möglichst an den rechten Strassenrand zu halten, mit Recht nicht von der Geschwindigkeit abhängig. Das wäre schon deshalb verfehlt, weil es nach der Erfahrung immer wieder Fahrzeuge gibt, die andere mit einer höhern als der zulässigen Geschwindigkeit zu überholen versuchen.</w:t>
      </w:r>
    </w:p>
    <w:p>
      <w:r>
        <w:rPr>
          <w:b/>
        </w:rPr>
        <w:t>E. 2</w:t>
      </w:r>
    </w:p>
    <w:p>
      <w:r>
        <w:t>Vor dem Einzelrichter liess der Beschwerdeführer durch den Anwalt einwenden, er sei zu seiner Fahrweise auch deshalb berechtigt gewesen, weil er eingespurt habe, um nach links zur Tankstelle Kohlen-Lendi abzubiegen. In der Untersuchung hatte er dies noch nicht behauptet. Das Obergericht nimmt gleichwohl an, dass er tatsächlich eingespurt habe, weshalb auch der Kassationshof davon auszugehen hat. Ein nach links einspurendes Fahrzeug belegt bis zum Abbiegen eine Fahrspur, auf der sonst andere, die geradeaus fahren, überholen oder allenfalls kreuzen könnten. Es stellt daher für sie nicht nur eine Behinderung, sondern auch eine erhöhte Gefahr von Zusammenstössen dar. Aus diesem Grunde muss vom Fahrer verlangt werden, dass er das Einspuren im Interesse der Flüssigkeit und Sicherheit des Längsverkehrs auf eine angemessene Strecke beschränkt. Welche Strecke als angemessen zu gelten hat, lässt sich nicht ein- für allemal in Metern festlegen, da die Strassen- und Verkehrsverhältnisse des Einzelfalles nicht ausser acht gelassen werden können und dem Fahrer zudem ein gewisses Ermessen zugestanden werden muss. Innerorts, wo die an sich zulässige Geschwindigkeit niedriger ist als ausserorts, dürfte die angemessene Einspurstrecke je nach den übrigen Verhältnissen in der Regel zwischen 40 und 100 m liegen (vgl. BGE 93 IV 103 Erw. b, BGE 94 IV 76 Erw. 2). BGE 94 IV 120 S. 124 Nach der verbindlichen Feststellung des Obergerichts hätte der Beschwerdeführer frühestens 173 m nach der Unfallstelle zur Tankstelle abbiegen können, weil eine Sicherheitslinie das Abbiegen vorher nicht zuliess. Demnach hat er aber erheblich zu früh gegen die Mittellinie gehalten. Dass die Fahrzeugführer nach Art. 13 Abs. 1 VRV frühzeitig einspuren müssen, hilft darüber nicht hinweg; diese Vorschrift hat nicht den Sinn, dass mit dem Einspuren beliebig früh begonnen werden dürfe. Darüber hätte bei pflichtgemässer Überlegung sich auch der Beschwerdeführer Rechenschaft geben können. Die Vorinstanz hat daher seinem Einwand für die Frage, ob er Art. 34 Abs. 1 SVG übertreten habe, mit Recht keine Bedeutung beigemessen.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